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CCD0" w14:textId="77777777" w:rsidR="004C5FD4" w:rsidRDefault="004C5FD4" w:rsidP="00781667"/>
    <w:p w14:paraId="529DEEDD" w14:textId="77777777" w:rsidR="00AD5082" w:rsidRDefault="00AD5082" w:rsidP="00781667"/>
    <w:p w14:paraId="65FEE896" w14:textId="77777777" w:rsidR="00AD5082" w:rsidRPr="003D2916" w:rsidRDefault="00AD5082" w:rsidP="00AD5082">
      <w:pPr>
        <w:rPr>
          <w:b/>
        </w:rPr>
      </w:pPr>
      <w:r>
        <w:rPr>
          <w:b/>
        </w:rPr>
        <w:t xml:space="preserve">Child Protection and </w:t>
      </w:r>
      <w:r w:rsidRPr="003D2916">
        <w:rPr>
          <w:b/>
        </w:rPr>
        <w:t>Safeguarding Policy</w:t>
      </w:r>
    </w:p>
    <w:p w14:paraId="7F2DA8C4" w14:textId="77777777" w:rsidR="00AD5082" w:rsidRDefault="00AD5082" w:rsidP="00AD5082"/>
    <w:p w14:paraId="15B06516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 xml:space="preserve">The purpose of this policy is to protect all individuals involved with our </w:t>
      </w:r>
      <w:r>
        <w:rPr>
          <w:sz w:val="20"/>
        </w:rPr>
        <w:t>activity</w:t>
      </w:r>
      <w:r w:rsidRPr="005F4F58">
        <w:rPr>
          <w:sz w:val="20"/>
        </w:rPr>
        <w:t xml:space="preserve"> programmes. This policy applies to all volunteers, staff and trustees working on behalf of Heath Hands.</w:t>
      </w:r>
    </w:p>
    <w:p w14:paraId="2B22B677" w14:textId="77777777" w:rsidR="00AD5082" w:rsidRPr="005F4F58" w:rsidRDefault="00AD5082" w:rsidP="00AD5082">
      <w:pPr>
        <w:rPr>
          <w:sz w:val="20"/>
        </w:rPr>
      </w:pPr>
    </w:p>
    <w:p w14:paraId="6DBEB2EB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Our policy</w:t>
      </w:r>
      <w:r>
        <w:rPr>
          <w:sz w:val="20"/>
        </w:rPr>
        <w:t xml:space="preserve"> is </w:t>
      </w:r>
      <w:r w:rsidRPr="005F4F58">
        <w:rPr>
          <w:sz w:val="20"/>
        </w:rPr>
        <w:t xml:space="preserve">Heath Hands does not endorse any form of discriminatory practice. We believe that nobody should experience abuse of any kind. </w:t>
      </w:r>
      <w:r>
        <w:rPr>
          <w:sz w:val="20"/>
        </w:rPr>
        <w:t>Our organisation has</w:t>
      </w:r>
      <w:r w:rsidRPr="005F4F58">
        <w:rPr>
          <w:sz w:val="20"/>
        </w:rPr>
        <w:t xml:space="preserve"> a responsibility to promote welfare and keep everyone involved with Heath Hands safe. </w:t>
      </w:r>
      <w:r>
        <w:rPr>
          <w:sz w:val="20"/>
        </w:rPr>
        <w:t>We believe that a</w:t>
      </w:r>
      <w:r w:rsidRPr="005F4F58">
        <w:rPr>
          <w:sz w:val="20"/>
        </w:rPr>
        <w:t xml:space="preserve">ll individuals regardless of age, disability, gender, ethnicity, religion, sexual orientation, </w:t>
      </w:r>
      <w:proofErr w:type="gramStart"/>
      <w:r w:rsidRPr="005F4F58">
        <w:rPr>
          <w:sz w:val="20"/>
        </w:rPr>
        <w:t>status</w:t>
      </w:r>
      <w:proofErr w:type="gramEnd"/>
      <w:r w:rsidRPr="005F4F58">
        <w:rPr>
          <w:sz w:val="20"/>
        </w:rPr>
        <w:t xml:space="preserve"> or identity have the right to protection from harm, abuse or exploitation.</w:t>
      </w:r>
    </w:p>
    <w:p w14:paraId="47E2CA58" w14:textId="77777777" w:rsidR="00AD5082" w:rsidRPr="005F4F58" w:rsidRDefault="00AD5082" w:rsidP="00AD5082">
      <w:pPr>
        <w:rPr>
          <w:sz w:val="20"/>
        </w:rPr>
      </w:pPr>
    </w:p>
    <w:p w14:paraId="62797E3D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Heath Hands acknowledges that some children or vulnerable and protected adults, including those who are disabled</w:t>
      </w:r>
      <w:r>
        <w:rPr>
          <w:sz w:val="20"/>
        </w:rPr>
        <w:t>,</w:t>
      </w:r>
      <w:r w:rsidRPr="005F4F58">
        <w:rPr>
          <w:sz w:val="20"/>
        </w:rPr>
        <w:t xml:space="preserve"> can be especially vulnerable to abuse, and we accept responsibility to take reasonable and appropriate steps to ensure their welfare.</w:t>
      </w:r>
    </w:p>
    <w:p w14:paraId="69ECD60E" w14:textId="77777777" w:rsidR="00AD5082" w:rsidRPr="005F4F58" w:rsidRDefault="00AD5082" w:rsidP="00AD5082">
      <w:pPr>
        <w:rPr>
          <w:sz w:val="20"/>
        </w:rPr>
      </w:pPr>
    </w:p>
    <w:p w14:paraId="3DDCC681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Heath Hands will keep individuals safe by:</w:t>
      </w:r>
    </w:p>
    <w:p w14:paraId="59B82086" w14:textId="77777777" w:rsidR="00AD5082" w:rsidRPr="005F4F58" w:rsidRDefault="00AD5082" w:rsidP="00AD5082">
      <w:pPr>
        <w:rPr>
          <w:sz w:val="20"/>
        </w:rPr>
      </w:pPr>
    </w:p>
    <w:p w14:paraId="07C49078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 xml:space="preserve">-valuing, </w:t>
      </w:r>
      <w:proofErr w:type="gramStart"/>
      <w:r w:rsidRPr="005F4F58">
        <w:rPr>
          <w:sz w:val="20"/>
        </w:rPr>
        <w:t>respecting</w:t>
      </w:r>
      <w:proofErr w:type="gramEnd"/>
      <w:r w:rsidRPr="005F4F58">
        <w:rPr>
          <w:sz w:val="20"/>
        </w:rPr>
        <w:t xml:space="preserve"> and listening to them</w:t>
      </w:r>
    </w:p>
    <w:p w14:paraId="1AE712A1" w14:textId="77777777" w:rsidR="00AD5082" w:rsidRDefault="00AD5082" w:rsidP="00AD5082">
      <w:pPr>
        <w:rPr>
          <w:sz w:val="20"/>
        </w:rPr>
      </w:pPr>
      <w:r w:rsidRPr="005F4F58">
        <w:rPr>
          <w:sz w:val="20"/>
        </w:rPr>
        <w:t xml:space="preserve">-providing a positive, </w:t>
      </w:r>
      <w:proofErr w:type="gramStart"/>
      <w:r w:rsidRPr="005F4F58">
        <w:rPr>
          <w:sz w:val="20"/>
        </w:rPr>
        <w:t>enjoyable</w:t>
      </w:r>
      <w:proofErr w:type="gramEnd"/>
      <w:r w:rsidRPr="005F4F58">
        <w:rPr>
          <w:sz w:val="20"/>
        </w:rPr>
        <w:t xml:space="preserve"> and safe programme</w:t>
      </w:r>
      <w:r>
        <w:rPr>
          <w:sz w:val="20"/>
        </w:rPr>
        <w:t xml:space="preserve"> of activities</w:t>
      </w:r>
    </w:p>
    <w:p w14:paraId="2DC26575" w14:textId="77777777" w:rsidR="00AD5082" w:rsidRDefault="00AD5082" w:rsidP="00AD5082">
      <w:pPr>
        <w:rPr>
          <w:sz w:val="20"/>
        </w:rPr>
      </w:pPr>
      <w:r>
        <w:rPr>
          <w:sz w:val="20"/>
        </w:rPr>
        <w:t>-promoting the safety and wellbeing of individuals involved with our organisation</w:t>
      </w:r>
    </w:p>
    <w:p w14:paraId="15BB1179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-ensuring that we provide a safe physical environment for individuals involved in our programmes</w:t>
      </w:r>
    </w:p>
    <w:p w14:paraId="449A0BE0" w14:textId="77777777" w:rsidR="00AD5082" w:rsidRDefault="00AD5082" w:rsidP="00AD5082">
      <w:pPr>
        <w:rPr>
          <w:sz w:val="20"/>
        </w:rPr>
      </w:pPr>
      <w:r>
        <w:rPr>
          <w:sz w:val="20"/>
        </w:rPr>
        <w:t>-alerting all relevant individuals that they have a responsibility to follow the guidelines set out in this policy</w:t>
      </w:r>
    </w:p>
    <w:p w14:paraId="64C65DB3" w14:textId="77777777" w:rsidR="00AD5082" w:rsidRDefault="00AD5082" w:rsidP="00AD5082">
      <w:pPr>
        <w:rPr>
          <w:sz w:val="20"/>
        </w:rPr>
      </w:pPr>
      <w:r w:rsidRPr="005F4F58">
        <w:rPr>
          <w:sz w:val="20"/>
        </w:rPr>
        <w:t xml:space="preserve">-ensuring an effective complaints procedure </w:t>
      </w:r>
      <w:r>
        <w:rPr>
          <w:sz w:val="20"/>
        </w:rPr>
        <w:t xml:space="preserve">is </w:t>
      </w:r>
      <w:r w:rsidRPr="005F4F58">
        <w:rPr>
          <w:sz w:val="20"/>
        </w:rPr>
        <w:t>in place</w:t>
      </w:r>
    </w:p>
    <w:p w14:paraId="29058740" w14:textId="77777777" w:rsidR="00AD5082" w:rsidRDefault="00AD5082" w:rsidP="00AD5082">
      <w:pPr>
        <w:rPr>
          <w:sz w:val="20"/>
        </w:rPr>
      </w:pPr>
      <w:r>
        <w:rPr>
          <w:sz w:val="20"/>
        </w:rPr>
        <w:t>-making it easy for people</w:t>
      </w:r>
      <w:r w:rsidRPr="00101332">
        <w:rPr>
          <w:sz w:val="20"/>
        </w:rPr>
        <w:t xml:space="preserve"> to </w:t>
      </w:r>
      <w:r>
        <w:rPr>
          <w:sz w:val="20"/>
        </w:rPr>
        <w:t>contact us with any concerns</w:t>
      </w:r>
    </w:p>
    <w:p w14:paraId="54227951" w14:textId="77777777" w:rsidR="00AD5082" w:rsidRPr="005F4F58" w:rsidRDefault="00AD5082" w:rsidP="00AD5082">
      <w:pPr>
        <w:rPr>
          <w:sz w:val="20"/>
        </w:rPr>
      </w:pPr>
      <w:r>
        <w:rPr>
          <w:sz w:val="20"/>
        </w:rPr>
        <w:t>-following our Safeguarding Procedures document which gives staff, volunteers and trustees practical steps and techniques to follow during their activities</w:t>
      </w:r>
    </w:p>
    <w:p w14:paraId="4994F4D0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-working closely with our partner organisations to align our safeguarding procedures</w:t>
      </w:r>
    </w:p>
    <w:p w14:paraId="7280A7FA" w14:textId="77777777" w:rsidR="00AD5082" w:rsidRDefault="00AD5082" w:rsidP="00AD5082">
      <w:pPr>
        <w:rPr>
          <w:sz w:val="20"/>
        </w:rPr>
      </w:pPr>
      <w:r w:rsidRPr="005F4F58">
        <w:rPr>
          <w:sz w:val="20"/>
        </w:rPr>
        <w:t xml:space="preserve">-providing appropriate supervision </w:t>
      </w:r>
      <w:r>
        <w:rPr>
          <w:sz w:val="20"/>
        </w:rPr>
        <w:t xml:space="preserve">for </w:t>
      </w:r>
      <w:proofErr w:type="gramStart"/>
      <w:r w:rsidRPr="005F4F58">
        <w:rPr>
          <w:sz w:val="20"/>
        </w:rPr>
        <w:t xml:space="preserve">all </w:t>
      </w:r>
      <w:r>
        <w:rPr>
          <w:sz w:val="20"/>
        </w:rPr>
        <w:t>of</w:t>
      </w:r>
      <w:proofErr w:type="gramEnd"/>
      <w:r>
        <w:rPr>
          <w:sz w:val="20"/>
        </w:rPr>
        <w:t xml:space="preserve"> </w:t>
      </w:r>
      <w:r w:rsidRPr="005F4F58">
        <w:rPr>
          <w:sz w:val="20"/>
        </w:rPr>
        <w:t>our activities</w:t>
      </w:r>
    </w:p>
    <w:p w14:paraId="4CB9088C" w14:textId="77777777" w:rsidR="00AD5082" w:rsidRPr="005F4F58" w:rsidRDefault="00AD5082" w:rsidP="00AD5082">
      <w:pPr>
        <w:rPr>
          <w:sz w:val="20"/>
        </w:rPr>
      </w:pPr>
      <w:r>
        <w:rPr>
          <w:sz w:val="20"/>
        </w:rPr>
        <w:t>-ensuring that all individuals, whether staff or volunteers, complete a Disclosure and Barring Service (DBS) check when required to do so</w:t>
      </w:r>
    </w:p>
    <w:p w14:paraId="7189BDE5" w14:textId="77777777" w:rsidR="00AD5082" w:rsidRDefault="00AD5082" w:rsidP="00AD5082">
      <w:pPr>
        <w:rPr>
          <w:sz w:val="20"/>
        </w:rPr>
      </w:pPr>
      <w:r>
        <w:rPr>
          <w:sz w:val="20"/>
        </w:rPr>
        <w:t xml:space="preserve">-providing training on safeguarding to staff, </w:t>
      </w:r>
      <w:proofErr w:type="gramStart"/>
      <w:r>
        <w:rPr>
          <w:sz w:val="20"/>
        </w:rPr>
        <w:t>volunteers</w:t>
      </w:r>
      <w:proofErr w:type="gramEnd"/>
      <w:r>
        <w:rPr>
          <w:sz w:val="20"/>
        </w:rPr>
        <w:t xml:space="preserve"> and trustees where appropriate</w:t>
      </w:r>
    </w:p>
    <w:p w14:paraId="4C46EEA1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-responding seriously to any allegations or suspicions of abuse</w:t>
      </w:r>
    </w:p>
    <w:p w14:paraId="583D7AD1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-taking appropriate action in the event of an incident</w:t>
      </w:r>
    </w:p>
    <w:p w14:paraId="499D8615" w14:textId="77777777" w:rsidR="00AD5082" w:rsidRPr="005F4F58" w:rsidRDefault="00AD5082" w:rsidP="00AD5082">
      <w:pPr>
        <w:rPr>
          <w:sz w:val="20"/>
        </w:rPr>
      </w:pPr>
      <w:r w:rsidRPr="005F4F58">
        <w:rPr>
          <w:sz w:val="20"/>
        </w:rPr>
        <w:t>-storing personal information securely</w:t>
      </w:r>
    </w:p>
    <w:p w14:paraId="3B2DAB85" w14:textId="77777777" w:rsidR="00AD5082" w:rsidRDefault="00AD5082" w:rsidP="00AD5082">
      <w:pPr>
        <w:rPr>
          <w:sz w:val="20"/>
        </w:rPr>
      </w:pPr>
      <w:r w:rsidRPr="005F4F58">
        <w:rPr>
          <w:sz w:val="20"/>
        </w:rPr>
        <w:t>-reflecting best practice guidelines and regulatory requirements</w:t>
      </w:r>
    </w:p>
    <w:p w14:paraId="0B7EE84C" w14:textId="77777777" w:rsidR="00AD5082" w:rsidRPr="005F4F58" w:rsidRDefault="00AD5082" w:rsidP="00AD5082">
      <w:pPr>
        <w:rPr>
          <w:sz w:val="20"/>
        </w:rPr>
      </w:pPr>
    </w:p>
    <w:p w14:paraId="6219E9A0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>Supporting Documents:</w:t>
      </w:r>
    </w:p>
    <w:p w14:paraId="172496F0" w14:textId="77777777" w:rsidR="00AD5082" w:rsidRDefault="00AD5082" w:rsidP="00AD5082">
      <w:pPr>
        <w:jc w:val="right"/>
        <w:rPr>
          <w:sz w:val="20"/>
        </w:rPr>
      </w:pPr>
    </w:p>
    <w:p w14:paraId="71BF39AB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>Safeguarding Procedures</w:t>
      </w:r>
    </w:p>
    <w:p w14:paraId="50145612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>Employee and Volunteer Handbooks</w:t>
      </w:r>
    </w:p>
    <w:p w14:paraId="3736E19B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>Complaints Policy and Procedure</w:t>
      </w:r>
    </w:p>
    <w:p w14:paraId="4F79D4D2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>Data Protection Policy</w:t>
      </w:r>
    </w:p>
    <w:p w14:paraId="0FE64A25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>Health and Safety Policy</w:t>
      </w:r>
    </w:p>
    <w:p w14:paraId="10B7165B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>Equality and Diversity Policy</w:t>
      </w:r>
    </w:p>
    <w:p w14:paraId="5AE15B47" w14:textId="77777777" w:rsidR="00AD5082" w:rsidRPr="00520432" w:rsidRDefault="00AD5082" w:rsidP="00AD5082">
      <w:pPr>
        <w:jc w:val="right"/>
        <w:rPr>
          <w:sz w:val="20"/>
        </w:rPr>
      </w:pPr>
      <w:r w:rsidRPr="00520432">
        <w:rPr>
          <w:sz w:val="20"/>
        </w:rPr>
        <w:t>Risk Register</w:t>
      </w:r>
    </w:p>
    <w:p w14:paraId="127791CE" w14:textId="77777777" w:rsidR="00AD5082" w:rsidRDefault="00AD5082" w:rsidP="00AD5082">
      <w:pPr>
        <w:jc w:val="right"/>
        <w:rPr>
          <w:sz w:val="20"/>
        </w:rPr>
      </w:pPr>
    </w:p>
    <w:p w14:paraId="10214B9A" w14:textId="77777777" w:rsidR="00AD5082" w:rsidRDefault="00AD5082" w:rsidP="00AD5082">
      <w:pPr>
        <w:jc w:val="right"/>
        <w:rPr>
          <w:sz w:val="20"/>
        </w:rPr>
      </w:pPr>
      <w:r>
        <w:rPr>
          <w:sz w:val="20"/>
        </w:rPr>
        <w:t xml:space="preserve">Contact: Colin Houston, </w:t>
      </w:r>
      <w:proofErr w:type="gramStart"/>
      <w:r>
        <w:rPr>
          <w:sz w:val="20"/>
        </w:rPr>
        <w:t>Projects</w:t>
      </w:r>
      <w:proofErr w:type="gramEnd"/>
      <w:r>
        <w:rPr>
          <w:sz w:val="20"/>
        </w:rPr>
        <w:t xml:space="preserve"> and Volunteer Manager, </w:t>
      </w:r>
      <w:hyperlink r:id="rId7" w:history="1">
        <w:r w:rsidRPr="00F42817">
          <w:rPr>
            <w:rStyle w:val="Hyperlink"/>
            <w:rFonts w:cs="Tahoma"/>
            <w:sz w:val="20"/>
          </w:rPr>
          <w:t>info@heath-hands.org.uk</w:t>
        </w:r>
      </w:hyperlink>
      <w:r>
        <w:rPr>
          <w:sz w:val="20"/>
        </w:rPr>
        <w:t>; 020 8458 9102</w:t>
      </w:r>
      <w:r w:rsidRPr="00464F02">
        <w:rPr>
          <w:sz w:val="20"/>
        </w:rPr>
        <w:t xml:space="preserve"> </w:t>
      </w:r>
    </w:p>
    <w:p w14:paraId="685E1C86" w14:textId="77777777" w:rsidR="00AD5082" w:rsidRDefault="00AD5082" w:rsidP="00AD5082">
      <w:pPr>
        <w:jc w:val="right"/>
        <w:rPr>
          <w:sz w:val="20"/>
        </w:rPr>
      </w:pPr>
    </w:p>
    <w:p w14:paraId="7D7928C0" w14:textId="77777777" w:rsidR="00AD5082" w:rsidRDefault="00AD5082" w:rsidP="00AD5082">
      <w:pPr>
        <w:jc w:val="right"/>
        <w:rPr>
          <w:sz w:val="20"/>
        </w:rPr>
      </w:pPr>
      <w:r w:rsidRPr="005F4F58">
        <w:rPr>
          <w:sz w:val="20"/>
        </w:rPr>
        <w:t xml:space="preserve">Policy </w:t>
      </w:r>
      <w:r>
        <w:rPr>
          <w:sz w:val="20"/>
        </w:rPr>
        <w:t>reviewed</w:t>
      </w:r>
      <w:r w:rsidRPr="005F4F58">
        <w:rPr>
          <w:sz w:val="20"/>
        </w:rPr>
        <w:t xml:space="preserve"> </w:t>
      </w:r>
      <w:r>
        <w:rPr>
          <w:sz w:val="20"/>
        </w:rPr>
        <w:t>February 2024</w:t>
      </w:r>
    </w:p>
    <w:p w14:paraId="594FD082" w14:textId="77777777" w:rsidR="00AD5082" w:rsidRPr="00781667" w:rsidRDefault="00AD5082" w:rsidP="00781667"/>
    <w:sectPr w:rsidR="00AD5082" w:rsidRPr="00781667" w:rsidSect="00D54409">
      <w:headerReference w:type="default" r:id="rId8"/>
      <w:pgSz w:w="11906" w:h="16838" w:code="9"/>
      <w:pgMar w:top="851" w:right="1134" w:bottom="24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BDDE" w14:textId="77777777" w:rsidR="00D54409" w:rsidRDefault="00D5440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2383287" w14:textId="77777777" w:rsidR="00D54409" w:rsidRDefault="00D5440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Nirmala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930A" w14:textId="77777777" w:rsidR="00D54409" w:rsidRDefault="00D5440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B23CE95" w14:textId="77777777" w:rsidR="00D54409" w:rsidRDefault="00D5440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90E" w14:textId="77777777" w:rsidR="00D87A76" w:rsidRPr="00C541F9" w:rsidRDefault="00727ED5" w:rsidP="004C5FD4">
    <w:pPr>
      <w:ind w:right="191"/>
      <w:jc w:val="right"/>
      <w:rPr>
        <w:rFonts w:ascii="Gill Sans MT" w:hAnsi="Gill Sans MT" w:cs="Gill Sans MT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CAA8F" wp14:editId="1CF807C5">
          <wp:simplePos x="0" y="0"/>
          <wp:positionH relativeFrom="column">
            <wp:posOffset>-426792</wp:posOffset>
          </wp:positionH>
          <wp:positionV relativeFrom="paragraph">
            <wp:posOffset>-251808</wp:posOffset>
          </wp:positionV>
          <wp:extent cx="992038" cy="992038"/>
          <wp:effectExtent l="0" t="0" r="0" b="0"/>
          <wp:wrapNone/>
          <wp:docPr id="4" name="Picture 4" descr="hh logo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 logo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75" cy="99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A76">
      <w:rPr>
        <w:sz w:val="18"/>
        <w:szCs w:val="18"/>
      </w:rPr>
      <w:t xml:space="preserve"> </w:t>
    </w:r>
    <w:r w:rsidR="00D87A76" w:rsidRPr="00C541F9">
      <w:rPr>
        <w:rFonts w:ascii="Gill Sans MT" w:hAnsi="Gill Sans MT" w:cs="Gill Sans MT"/>
        <w:sz w:val="20"/>
      </w:rPr>
      <w:t>The Dairy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Kenwood House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 xml:space="preserve">Hampstead Lane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 xml:space="preserve">London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NW3 7JN</w:t>
    </w:r>
  </w:p>
  <w:p w14:paraId="004038A3" w14:textId="77777777" w:rsidR="002E7606" w:rsidRPr="00C541F9" w:rsidRDefault="00D87A76" w:rsidP="00D92BF5">
    <w:pPr>
      <w:ind w:right="191"/>
      <w:jc w:val="right"/>
      <w:rPr>
        <w:rFonts w:ascii="Gill Sans MT" w:hAnsi="Gill Sans MT" w:cs="Gill Sans MT"/>
        <w:sz w:val="20"/>
      </w:rPr>
    </w:pPr>
    <w:r w:rsidRPr="00C541F9">
      <w:rPr>
        <w:rFonts w:ascii="Gill Sans MT" w:hAnsi="Gill Sans MT" w:cs="Gill Sans MT"/>
        <w:sz w:val="20"/>
      </w:rPr>
      <w:t xml:space="preserve">   </w:t>
    </w:r>
  </w:p>
  <w:p w14:paraId="3AC983EE" w14:textId="5C98EA1B" w:rsidR="00D87A76" w:rsidRPr="00C541F9" w:rsidRDefault="00975417" w:rsidP="004C5FD4">
    <w:pPr>
      <w:ind w:left="3600" w:right="191" w:firstLine="720"/>
      <w:jc w:val="right"/>
      <w:rPr>
        <w:rFonts w:ascii="Gill Sans MT" w:hAnsi="Gill Sans MT" w:cs="Gill Sans MT"/>
        <w:sz w:val="20"/>
      </w:rPr>
    </w:pPr>
    <w:r>
      <w:rPr>
        <w:rFonts w:ascii="Gill Sans MT" w:hAnsi="Gill Sans MT" w:cs="Gill Sans MT"/>
        <w:b/>
        <w:bCs/>
        <w:sz w:val="20"/>
      </w:rPr>
      <w:t xml:space="preserve">   </w:t>
    </w:r>
    <w:r w:rsidR="005A26C7">
      <w:rPr>
        <w:rFonts w:ascii="Gill Sans MT" w:hAnsi="Gill Sans MT" w:cs="Gill Sans MT"/>
        <w:b/>
        <w:bCs/>
        <w:sz w:val="20"/>
      </w:rPr>
      <w:tab/>
    </w:r>
    <w:r w:rsidR="005A26C7">
      <w:rPr>
        <w:rFonts w:ascii="Gill Sans MT" w:hAnsi="Gill Sans MT" w:cs="Gill Sans MT"/>
        <w:b/>
        <w:bCs/>
        <w:sz w:val="20"/>
      </w:rPr>
      <w:tab/>
      <w:t xml:space="preserve">        </w:t>
    </w:r>
    <w:r w:rsidR="002E7606" w:rsidRPr="00C541F9">
      <w:rPr>
        <w:rFonts w:ascii="Gill Sans MT" w:hAnsi="Gill Sans MT" w:cs="Gill Sans MT"/>
        <w:b/>
        <w:bCs/>
        <w:sz w:val="20"/>
      </w:rPr>
      <w:t>T:</w:t>
    </w:r>
    <w:r>
      <w:rPr>
        <w:rFonts w:ascii="Gill Sans MT" w:hAnsi="Gill Sans MT" w:cs="Gill Sans MT"/>
        <w:b/>
        <w:bCs/>
        <w:sz w:val="20"/>
      </w:rPr>
      <w:t xml:space="preserve"> </w:t>
    </w:r>
    <w:r w:rsidRPr="00975417">
      <w:rPr>
        <w:rFonts w:ascii="Gill Sans MT" w:hAnsi="Gill Sans MT" w:cs="Gill Sans MT"/>
        <w:sz w:val="20"/>
      </w:rPr>
      <w:t xml:space="preserve">020 </w:t>
    </w:r>
    <w:r w:rsidR="001D5F54">
      <w:rPr>
        <w:rFonts w:ascii="Gill Sans MT" w:hAnsi="Gill Sans MT" w:cs="Gill Sans MT"/>
        <w:sz w:val="20"/>
      </w:rPr>
      <w:t>7332</w:t>
    </w:r>
    <w:r w:rsidRPr="00975417">
      <w:rPr>
        <w:rFonts w:ascii="Gill Sans MT" w:hAnsi="Gill Sans MT" w:cs="Gill Sans MT"/>
        <w:sz w:val="20"/>
      </w:rPr>
      <w:t xml:space="preserve"> 3738</w:t>
    </w:r>
    <w:r>
      <w:rPr>
        <w:rFonts w:ascii="Gill Sans MT" w:hAnsi="Gill Sans MT" w:cs="Gill Sans MT"/>
        <w:b/>
        <w:bCs/>
        <w:sz w:val="20"/>
      </w:rPr>
      <w:t xml:space="preserve"> /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020 8458 9102</w:t>
    </w:r>
  </w:p>
  <w:p w14:paraId="5FD71C93" w14:textId="77777777" w:rsidR="00D87A76" w:rsidRPr="00C541F9" w:rsidRDefault="00727ED5" w:rsidP="00727ED5">
    <w:pPr>
      <w:ind w:left="720" w:right="191"/>
      <w:rPr>
        <w:rFonts w:ascii="Times New Roman" w:hAnsi="Times New Roman"/>
        <w:b/>
        <w:bCs/>
        <w:sz w:val="20"/>
      </w:rPr>
    </w:pPr>
    <w:r w:rsidRPr="00C541F9">
      <w:rPr>
        <w:rFonts w:ascii="Gill Sans MT" w:hAnsi="Gill Sans MT" w:cs="Gill Sans MT"/>
        <w:b/>
        <w:bCs/>
        <w:sz w:val="20"/>
      </w:rPr>
      <w:t xml:space="preserve">  </w:t>
    </w:r>
    <w:r w:rsidR="004C5FD4">
      <w:rPr>
        <w:rFonts w:ascii="Gill Sans MT" w:hAnsi="Gill Sans MT" w:cs="Gill Sans MT"/>
        <w:b/>
        <w:bCs/>
        <w:sz w:val="20"/>
      </w:rPr>
      <w:t xml:space="preserve">  </w:t>
    </w:r>
    <w:r w:rsidR="00D92BF5" w:rsidRPr="00954686">
      <w:rPr>
        <w:rFonts w:ascii="Gill Sans MT" w:hAnsi="Gill Sans MT" w:cs="Gill Sans MT"/>
        <w:b/>
        <w:bCs/>
        <w:color w:val="007765"/>
        <w:sz w:val="20"/>
      </w:rPr>
      <w:t>Conservation and Community</w:t>
    </w:r>
    <w:r w:rsidR="00D92BF5" w:rsidRPr="002A65E7">
      <w:rPr>
        <w:rFonts w:ascii="Gill Sans MT" w:hAnsi="Gill Sans MT" w:cs="Gill Sans MT"/>
        <w:color w:val="007765"/>
        <w:sz w:val="20"/>
      </w:rPr>
      <w:t xml:space="preserve"> </w:t>
    </w:r>
    <w:r w:rsidR="00975417">
      <w:rPr>
        <w:rFonts w:ascii="Gill Sans MT" w:hAnsi="Gill Sans MT" w:cs="Gill Sans MT"/>
        <w:color w:val="007765"/>
        <w:sz w:val="20"/>
      </w:rPr>
      <w:tab/>
    </w:r>
    <w:r w:rsidR="00975417">
      <w:rPr>
        <w:rFonts w:ascii="Gill Sans MT" w:hAnsi="Gill Sans MT" w:cs="Gill Sans MT"/>
        <w:color w:val="007765"/>
        <w:sz w:val="20"/>
      </w:rPr>
      <w:tab/>
    </w:r>
    <w:r w:rsidR="004C5FD4">
      <w:rPr>
        <w:rFonts w:ascii="Gill Sans MT" w:hAnsi="Gill Sans MT" w:cs="Gill Sans MT"/>
        <w:color w:val="007765"/>
        <w:sz w:val="20"/>
      </w:rPr>
      <w:tab/>
    </w:r>
    <w:r w:rsidR="00975417">
      <w:rPr>
        <w:rFonts w:ascii="Gill Sans MT" w:hAnsi="Gill Sans MT" w:cs="Gill Sans MT"/>
        <w:color w:val="007765"/>
        <w:sz w:val="20"/>
      </w:rPr>
      <w:tab/>
      <w:t xml:space="preserve">   </w:t>
    </w:r>
    <w:r w:rsidR="004C5FD4">
      <w:rPr>
        <w:rFonts w:ascii="Gill Sans MT" w:hAnsi="Gill Sans MT" w:cs="Gill Sans MT"/>
        <w:color w:val="007765"/>
        <w:sz w:val="20"/>
      </w:rPr>
      <w:t xml:space="preserve">       </w:t>
    </w:r>
    <w:r w:rsidR="00975417">
      <w:rPr>
        <w:rFonts w:ascii="Gill Sans MT" w:hAnsi="Gill Sans MT" w:cs="Gill Sans MT"/>
        <w:color w:val="007765"/>
        <w:sz w:val="20"/>
      </w:rPr>
      <w:t xml:space="preserve">  </w:t>
    </w:r>
    <w:r w:rsidR="00975417" w:rsidRPr="00C541F9">
      <w:rPr>
        <w:rFonts w:ascii="Gill Sans MT" w:hAnsi="Gill Sans MT" w:cs="Gill Sans MT"/>
        <w:b/>
        <w:bCs/>
        <w:sz w:val="20"/>
      </w:rPr>
      <w:t>E:</w:t>
    </w:r>
    <w:r w:rsidR="00975417" w:rsidRPr="00C541F9">
      <w:rPr>
        <w:rFonts w:ascii="Gill Sans MT" w:hAnsi="Gill Sans MT" w:cs="Gill Sans MT"/>
        <w:sz w:val="20"/>
      </w:rPr>
      <w:t xml:space="preserve"> info@heath-hands.org.uk</w:t>
    </w:r>
    <w:r w:rsidRPr="002A65E7">
      <w:rPr>
        <w:rFonts w:ascii="Gill Sans MT" w:hAnsi="Gill Sans MT" w:cs="Gill Sans MT"/>
        <w:color w:val="007765"/>
        <w:sz w:val="20"/>
      </w:rPr>
      <w:br/>
    </w:r>
    <w:r w:rsidRPr="00954686">
      <w:rPr>
        <w:rFonts w:ascii="Gill Sans MT" w:hAnsi="Gill Sans MT" w:cs="Gill Sans MT"/>
        <w:b/>
        <w:bCs/>
        <w:color w:val="007765"/>
        <w:sz w:val="20"/>
      </w:rPr>
      <w:t>on Hampstead He</w:t>
    </w:r>
    <w:r w:rsidR="00125516">
      <w:rPr>
        <w:rFonts w:ascii="Gill Sans MT" w:hAnsi="Gill Sans MT" w:cs="Gill Sans MT"/>
        <w:b/>
        <w:bCs/>
        <w:color w:val="007765"/>
        <w:sz w:val="20"/>
      </w:rPr>
      <w:t xml:space="preserve">ath </w:t>
    </w:r>
    <w:r w:rsidR="00125516">
      <w:rPr>
        <w:rFonts w:ascii="Gill Sans MT" w:hAnsi="Gill Sans MT" w:cs="Gill Sans MT"/>
        <w:color w:val="007765"/>
        <w:sz w:val="20"/>
      </w:rPr>
      <w:t xml:space="preserve">                                                                        </w:t>
    </w:r>
    <w:r w:rsidR="004C5FD4">
      <w:rPr>
        <w:rFonts w:ascii="Gill Sans MT" w:hAnsi="Gill Sans MT" w:cs="Gill Sans MT"/>
        <w:color w:val="007765"/>
        <w:sz w:val="20"/>
      </w:rPr>
      <w:t xml:space="preserve">   </w:t>
    </w:r>
    <w:r w:rsidR="00125516">
      <w:rPr>
        <w:rFonts w:ascii="Gill Sans MT" w:hAnsi="Gill Sans MT" w:cs="Gill Sans MT"/>
        <w:color w:val="007765"/>
        <w:sz w:val="20"/>
      </w:rPr>
      <w:t xml:space="preserve">   </w:t>
    </w:r>
    <w:r w:rsidR="002E7606" w:rsidRPr="00C541F9">
      <w:rPr>
        <w:rFonts w:ascii="Gill Sans MT" w:hAnsi="Gill Sans MT" w:cs="Gill Sans MT"/>
        <w:b/>
        <w:bCs/>
        <w:sz w:val="20"/>
      </w:rPr>
      <w:t>www.heath-hands.org.uk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432"/>
    <w:multiLevelType w:val="hybridMultilevel"/>
    <w:tmpl w:val="920098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3051E"/>
    <w:multiLevelType w:val="hybridMultilevel"/>
    <w:tmpl w:val="DA54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1866"/>
    <w:multiLevelType w:val="hybridMultilevel"/>
    <w:tmpl w:val="5E96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4B8A"/>
    <w:multiLevelType w:val="hybridMultilevel"/>
    <w:tmpl w:val="EBF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6D86"/>
    <w:multiLevelType w:val="hybridMultilevel"/>
    <w:tmpl w:val="49D0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CC423CE"/>
    <w:multiLevelType w:val="hybridMultilevel"/>
    <w:tmpl w:val="2294D786"/>
    <w:lvl w:ilvl="0" w:tplc="4E84777A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816CB0"/>
    <w:multiLevelType w:val="hybridMultilevel"/>
    <w:tmpl w:val="F556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20A42"/>
    <w:multiLevelType w:val="hybridMultilevel"/>
    <w:tmpl w:val="8DFC69F2"/>
    <w:lvl w:ilvl="0" w:tplc="76064D22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4915291">
    <w:abstractNumId w:val="0"/>
  </w:num>
  <w:num w:numId="2" w16cid:durableId="1080323050">
    <w:abstractNumId w:val="5"/>
  </w:num>
  <w:num w:numId="3" w16cid:durableId="1485662109">
    <w:abstractNumId w:val="7"/>
  </w:num>
  <w:num w:numId="4" w16cid:durableId="653031019">
    <w:abstractNumId w:val="4"/>
  </w:num>
  <w:num w:numId="5" w16cid:durableId="1749305317">
    <w:abstractNumId w:val="3"/>
  </w:num>
  <w:num w:numId="6" w16cid:durableId="1037657394">
    <w:abstractNumId w:val="1"/>
  </w:num>
  <w:num w:numId="7" w16cid:durableId="1393697262">
    <w:abstractNumId w:val="2"/>
  </w:num>
  <w:num w:numId="8" w16cid:durableId="544223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A1"/>
    <w:rsid w:val="000061AE"/>
    <w:rsid w:val="000170C2"/>
    <w:rsid w:val="00030E00"/>
    <w:rsid w:val="000341F3"/>
    <w:rsid w:val="00043CB7"/>
    <w:rsid w:val="00067537"/>
    <w:rsid w:val="00073027"/>
    <w:rsid w:val="000C00DD"/>
    <w:rsid w:val="00100870"/>
    <w:rsid w:val="00121B25"/>
    <w:rsid w:val="00125516"/>
    <w:rsid w:val="001336BB"/>
    <w:rsid w:val="00162E49"/>
    <w:rsid w:val="001719FA"/>
    <w:rsid w:val="00180653"/>
    <w:rsid w:val="00180E7F"/>
    <w:rsid w:val="001935A1"/>
    <w:rsid w:val="001B1A78"/>
    <w:rsid w:val="001C15EB"/>
    <w:rsid w:val="001C2E0B"/>
    <w:rsid w:val="001C6B27"/>
    <w:rsid w:val="001D5F54"/>
    <w:rsid w:val="001E2395"/>
    <w:rsid w:val="00240811"/>
    <w:rsid w:val="00265585"/>
    <w:rsid w:val="002A65E7"/>
    <w:rsid w:val="002B24F6"/>
    <w:rsid w:val="002D3015"/>
    <w:rsid w:val="002E0CB0"/>
    <w:rsid w:val="002E5077"/>
    <w:rsid w:val="002E7606"/>
    <w:rsid w:val="002F2EBE"/>
    <w:rsid w:val="002F5A4B"/>
    <w:rsid w:val="00302708"/>
    <w:rsid w:val="00307FD7"/>
    <w:rsid w:val="00314159"/>
    <w:rsid w:val="00322E29"/>
    <w:rsid w:val="003563DC"/>
    <w:rsid w:val="003A7E4E"/>
    <w:rsid w:val="003F473D"/>
    <w:rsid w:val="00416C5C"/>
    <w:rsid w:val="004465C1"/>
    <w:rsid w:val="004506C3"/>
    <w:rsid w:val="0046405D"/>
    <w:rsid w:val="004C0A36"/>
    <w:rsid w:val="004C5FD4"/>
    <w:rsid w:val="004C73A1"/>
    <w:rsid w:val="004D3AA2"/>
    <w:rsid w:val="004E4096"/>
    <w:rsid w:val="00505194"/>
    <w:rsid w:val="0050633A"/>
    <w:rsid w:val="00536DAA"/>
    <w:rsid w:val="0054550B"/>
    <w:rsid w:val="00555D4E"/>
    <w:rsid w:val="005A26C7"/>
    <w:rsid w:val="005B3528"/>
    <w:rsid w:val="005B5833"/>
    <w:rsid w:val="005B61A0"/>
    <w:rsid w:val="005D7ABE"/>
    <w:rsid w:val="005E2844"/>
    <w:rsid w:val="005F744F"/>
    <w:rsid w:val="00623ECF"/>
    <w:rsid w:val="006F0F09"/>
    <w:rsid w:val="00714C0E"/>
    <w:rsid w:val="00727ED5"/>
    <w:rsid w:val="00742045"/>
    <w:rsid w:val="00753721"/>
    <w:rsid w:val="00776F26"/>
    <w:rsid w:val="00781667"/>
    <w:rsid w:val="007D57D2"/>
    <w:rsid w:val="007E7F5B"/>
    <w:rsid w:val="00825CA8"/>
    <w:rsid w:val="00836080"/>
    <w:rsid w:val="008369E0"/>
    <w:rsid w:val="008369F4"/>
    <w:rsid w:val="008C09A8"/>
    <w:rsid w:val="008E394F"/>
    <w:rsid w:val="008E5AF3"/>
    <w:rsid w:val="00954686"/>
    <w:rsid w:val="00961651"/>
    <w:rsid w:val="00975417"/>
    <w:rsid w:val="009C2DC4"/>
    <w:rsid w:val="00A04143"/>
    <w:rsid w:val="00A37866"/>
    <w:rsid w:val="00AA6BCC"/>
    <w:rsid w:val="00AA6EE1"/>
    <w:rsid w:val="00AC5D4D"/>
    <w:rsid w:val="00AD0BBE"/>
    <w:rsid w:val="00AD5082"/>
    <w:rsid w:val="00AE0826"/>
    <w:rsid w:val="00B05640"/>
    <w:rsid w:val="00B269DC"/>
    <w:rsid w:val="00B66FA8"/>
    <w:rsid w:val="00B94D42"/>
    <w:rsid w:val="00BB0B16"/>
    <w:rsid w:val="00BF09D4"/>
    <w:rsid w:val="00C359AB"/>
    <w:rsid w:val="00C541F9"/>
    <w:rsid w:val="00C663F5"/>
    <w:rsid w:val="00C72078"/>
    <w:rsid w:val="00C81979"/>
    <w:rsid w:val="00C8321B"/>
    <w:rsid w:val="00CB3FB4"/>
    <w:rsid w:val="00CC258E"/>
    <w:rsid w:val="00CC2820"/>
    <w:rsid w:val="00CC6349"/>
    <w:rsid w:val="00CD300D"/>
    <w:rsid w:val="00D14F75"/>
    <w:rsid w:val="00D15862"/>
    <w:rsid w:val="00D20BFD"/>
    <w:rsid w:val="00D54409"/>
    <w:rsid w:val="00D7099A"/>
    <w:rsid w:val="00D87A76"/>
    <w:rsid w:val="00D92BF5"/>
    <w:rsid w:val="00DA5772"/>
    <w:rsid w:val="00E063B8"/>
    <w:rsid w:val="00E14B42"/>
    <w:rsid w:val="00E34AAB"/>
    <w:rsid w:val="00E4139F"/>
    <w:rsid w:val="00E9498B"/>
    <w:rsid w:val="00EB1D1F"/>
    <w:rsid w:val="00EE7461"/>
    <w:rsid w:val="00EF0001"/>
    <w:rsid w:val="00F07187"/>
    <w:rsid w:val="00F1534E"/>
    <w:rsid w:val="00F34C13"/>
    <w:rsid w:val="00F72C66"/>
    <w:rsid w:val="00F9484A"/>
    <w:rsid w:val="00FB3934"/>
    <w:rsid w:val="00FD6CBA"/>
    <w:rsid w:val="00FE6C73"/>
    <w:rsid w:val="00FE776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7336D"/>
  <w15:docId w15:val="{478CDBEB-A9D5-4A61-8FBB-0AA60A0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935A1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eastAsia="Times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ath-han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Hands\Dropbox\ALL%20FILES\ADMINISTRATION\Letterhead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2023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 Hands</vt:lpstr>
    </vt:vector>
  </TitlesOfParts>
  <Company>Damn Fine Design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 Hands</dc:title>
  <dc:creator>Heath Hands</dc:creator>
  <cp:lastModifiedBy>Colin Houston</cp:lastModifiedBy>
  <cp:revision>2</cp:revision>
  <cp:lastPrinted>2023-03-06T20:50:00Z</cp:lastPrinted>
  <dcterms:created xsi:type="dcterms:W3CDTF">2024-02-26T14:43:00Z</dcterms:created>
  <dcterms:modified xsi:type="dcterms:W3CDTF">2024-02-26T14:43:00Z</dcterms:modified>
</cp:coreProperties>
</file>